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AA" w:rsidRPr="00B95E20" w:rsidRDefault="00075DAA" w:rsidP="001E179E">
      <w:pPr>
        <w:spacing w:after="0"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5E2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75DAA" w:rsidRDefault="00075DAA" w:rsidP="001E179E">
      <w:pPr>
        <w:ind w:firstLine="567"/>
        <w:rPr>
          <w:rFonts w:ascii="Times New Roman" w:hAnsi="Times New Roman" w:cs="Times New Roman"/>
          <w:i/>
          <w:sz w:val="24"/>
        </w:rPr>
      </w:pPr>
    </w:p>
    <w:p w:rsidR="00075DAA" w:rsidRDefault="00075DAA" w:rsidP="001E179E">
      <w:pPr>
        <w:ind w:firstLine="567"/>
        <w:rPr>
          <w:rFonts w:ascii="Times New Roman" w:hAnsi="Times New Roman" w:cs="Times New Roman"/>
          <w:i/>
          <w:sz w:val="24"/>
        </w:rPr>
      </w:pPr>
      <w:r w:rsidRPr="00200AB8">
        <w:rPr>
          <w:rFonts w:ascii="Times New Roman" w:hAnsi="Times New Roman" w:cs="Times New Roman"/>
          <w:i/>
          <w:sz w:val="24"/>
        </w:rPr>
        <w:t>И. Фрум</w:t>
      </w:r>
      <w:r>
        <w:rPr>
          <w:rFonts w:ascii="Times New Roman" w:hAnsi="Times New Roman" w:cs="Times New Roman"/>
          <w:i/>
          <w:sz w:val="24"/>
        </w:rPr>
        <w:t>ин, М. Добрякова, И. Реморенко</w:t>
      </w:r>
    </w:p>
    <w:p w:rsidR="00075DAA" w:rsidRDefault="00075DAA" w:rsidP="001E179E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075DAA">
        <w:rPr>
          <w:rFonts w:ascii="Times New Roman" w:hAnsi="Times New Roman" w:cs="Times New Roman"/>
          <w:b/>
          <w:sz w:val="24"/>
        </w:rPr>
        <w:t>Универсальные компетентности и новая грамотность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 короткий текст - первое представление предварительных итогов масштабного международного проекта, объединившего исследователей из ведущих университетов восьми стран в работе над анализом глобальных трансформаций содержания школьного образования, с точки зрения универсальных компетентностей и новой грамотности. Полный т</w:t>
      </w:r>
      <w:r w:rsidR="007A58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екст доклада по итогам проекта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представлен в октябре 2018 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года. Мы благодарим наших соавторов по докладу (18 специалистов из разных стран). Мы с удовольствием отмечаем большой вклад представителей проектов «Образование 2030» (Организация экономического с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отрудничества и развития, ОЭСР)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«Образовательн</w:t>
      </w:r>
      <w:r w:rsidR="001E17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ые программы будущего» (ЮНЕСКО)</w:t>
      </w:r>
      <w:r w:rsidRPr="00075D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обсуждение вопросов и материалов нашего доклада. Мы искренне благодарны благотворительному фонду «Вклад в будущее» за постановку задачи и поддержку проекта. Учитывая, что этот материал носит предварительный характер, мы будем признательны читателям за вопросы, комментарии, предложения.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проект «Универсальные компетентности и новая грамотность» должен был решить три задачи: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понятийной рамки развития компетентностей и новой грамотности (далее - рамки) в школьном образовании;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анализ лучшего мирового опыта в этой сфере;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разработка предложений по трансформации школьного образования в России, которые содействовали бы его международной конкурентоспособности.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предлагаемом материале анализируется глобальный контекст, в котором происходит сейчас обновление содержания и технологий образования. В нем представлен проект рамки и варианты необходимых шагов для ее реализации в российской школе.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группа проекта на первом этапе столкнулась с серьезной терминологической трудностью прежде всего в отношении словосочетаний, обозначающих не предметные (или специальные) компетентности, а компетентности решения универсальных (метапредметных), то есть не ограниченных отдельными предметами или сферами, задач. Проведенный анализ литературы и нормативных документов (более 180 различных рамок компетентностей) позволяет утверждать, что выражения «ключевые компетентности (навыки)» и «универсальные компетентности (навыки)», «навыки XXI века», «метапредметные навыки (умения)» употребляются практически всегда как синонимы. Все это создает понятийную и терминологическую ситуацию, которую многие исследователи и образовательные политики характеризуют как концептуальную путаницу (conceptual mess). Поэтому международная рабочая группа предложила остановиться на одном термине - «универсальные компетентности», который и будет использоваться в данном материале. Разъяснения этого термина, его сравнение с термином «грамотность» приводятся в третьем разделе. С точки зрения авторов доклада, слово «универсальный» отражает как массовый - необходимый для всех - характер этих компетентностей, так и то, что они не ограничены какой-либо особой областью деятельности.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Эволюция содержания школьного образования - курс на универсальные компетентности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XX века в развитых странах (независимо от политического и экономического устройства) оформилась модель школы, настроенной на индустриальное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производство: всеобщее образование, обязательное обучение в школе на протяжении 8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11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и стандартное для всех предметное содержание. Массовое участие населения в такой образовательной модели изменило качество человеческого капитала и поставило перед образованием новые задачи.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государственные власти и межгосударственные организации озаботились минимальным единым содержанием школьного образования, поскольку всеобщее школьное образование не может селективно отбирать учащихся. Оно должно обеспечить каждого минимальным набором знаний и умений и не просто готовить отдельных счастливцев к следующим ступеням обучения, но и формировать базовые навыки для успешной жизни в меняющемся обществе.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уже в 1960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годах эксперты в сфере образования заговорили о принципиальной недостаточности одних лишь предметных знаний, о необходимости более широкого понимания целей массового образования. Западный подход к этой проблеме сформулирован ЮНЕСКО в Концепции непрерывного образования в 1960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годах и уточнен в докладе Learning To Be (1972), выделяющем четыре ключевых блока компетентностей: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со знанием (to know);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действием (to do);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существованием (to be);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связанные с жизнью с другими людьми (to live together).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в это же время появился «манифест» Э.Ильенкова «Школа должна учить мыслить», начались разработки «обучения, развивающего мышление».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к 1980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м годам в большинстве развитых стран традиционные учебные программы были дополнены заданиями для развития мышления в целом (higher order thinking) и критического мышления в частности (critical thinking).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тренд не требовал и не требует радикального изменения структуры предметного обучения и даже основных массовых технологий обучения, но предполагает изменение содержания заданий и оценки результатов.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новые требования к системе массового образования пришли со стороны бизнеса (эта тенденция Россию до начала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не затронула). Они появились прежде всего в связи с изменением структуры рынка труда и типов труда: доля рутинного труда уменьшалась, а нерутинного (как физического, так и умственного) - существенно росла. Возник массовый спрос на труд, требующий экспертного анализа (expert thinking or expert analysis) или сложной коммуникации (complex communication). Бизнес-ассоциации стали настаивать: массовое образование должно развивать «мягкие навыки», или «универсальные навыки» («ключевые компетентности», «навыки XXI века», soft skills), в том числе навыки самоорганизации, коммуникации, кооперации, коллективного использования сложных инструментов труда. В последние десятилетия крупнейшие мировые корпорации, прежде всего высокотехнологичные, продолжают исследования рынка труда и заявляют: работодатели заинтересованы в сотрудниках, умеющих критически мыслить и креативно решать задачи, открытых новым знаниям и инновационным подходам, способных эффективно общаться и работать в команде (например, Partnership for 21st Century Skills, 2006; Assessment and Teaching of 21st Century Skills, 2012).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стран до середины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требования бизнеса не находили значимого отражения в школьном образовании.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повышение неопределенности будущего в связи с быстрым изменением технологий и условий жизни также предъявило новые требования к результатам школьного образования - оно становится для каждого лишь этапом обучения, длящегося всю жизнь, требует формирования умения учиться (learning to learn) и адаптироваться к новым условиям.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 середины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формирование умения учиться также не входило в число задач школьного образования.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в-четвертых, к началу XXI века стало понятно, что устарело и предметное содержание школьного образования, сформировавшееся в середине прошлого века. Различные профессиональные и общественные группы начали указывать на это отставание и настаивать: дополнительные знания должны быть включены в обязательную школьную программу, они являются новой грамотностью. К 2010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м годам список таких «новых грамотностей» насчитывал более 50 наименований, включая финансовую, медицинскую, цифровую, правовую, экологическую и другие «грамотности».</w:t>
      </w:r>
    </w:p>
    <w:p w:rsid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новой грамотности стало и понимание глобального контекста жизни каждого человека. В 2015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самое влиятельное международное исследование качества школьного образования PISA добавило в число проверяемых компетентностей «глобальную компетентность» (global competence), которая подразумевает наличие у человека знаний, установок, умений и навыков, позволяющих:</w:t>
      </w:r>
    </w:p>
    <w:p w:rsid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проблемы с различных позиций - локальных, глобальных, межкультурных;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уважать картину мира, точку зрения других людей;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открытом и эффективном взаимодействии с представителями различных культур;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прилагать усилия для обеспечения коллективного благополучия и устойчивого развития.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расширилось понимание традиционной грамотности, суть которой в способности воспринимать и транслировать информацию в различных форматах (текстовых и визуальных, на языках естественных и формальных и т. д.). Умение обращаться с информацией стало основой для способности к дальнейшему обучению на протяжении всей жизни, для расширения возможностей участия в экономической и социальной жизни.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системы реагировали на эти требования добавлением новых элементов (и даже новых курсов) в учебные программы, но не трансформировали их системно.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темпы глобальных изменений в большинстве областей серьезно опережают темпы обновления школьного образования и программ подготовки педагогов. Постепенное обновление содержания образовательных программ вслед за изменением технологий и условий жизни оказывается неэффективным - готовые знания «в коробке» с большей долей вероятности устареют к моменту выхода выпускника на рынок труда.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XXI века международным организациям (ЮНЕСКО, Всемирный банк, ОЭСР) и передовым национальным системам образования стало очевидно: названные четыре тенденции демонстрируют необходимость трансформации содержания школьного образования. Они требуют не повторения лучших практик и моделей прошлого, а ориентации на будущее.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Национальные и глобальные проекты по обновлению содержания образования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- начале 2000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перестройку образова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программ (куррикулумову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ориентацией на ключевые (универсальные) компетентности начали страны с быстро развивающейся инновационной экономикой: Финляндия и Австралия, отдельные штаты США и провинции Канады, Южная Корея, Сингапур, Шотландия и Ирландия. Они разрабатывали: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перечни универсальных компетентностей;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индикаторы развития компетентностей и средства их оценки;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развития компетентностей - в рамках традиционных предметов и на специальных занятиях;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 перечни «новой грамотности».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Позже к этому движению присоединяются и другие страны: Китай, Япония, Германия, Нидерланды, Норвегия, развитые страны Латинской Америки, постсоциалистические страны Европы.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еще не сформирована глобально принятая модель, но уже ясно: в центре трансформации не столько обновление устаревшего содержания (понимаемого как современное научное знание, адаптированное для школы и распределенное по учебным предметам) и даже не столько специальные курсы по развитию универсальных навыков, сколько системное изменение методов обучения и оценки учебных результатов.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общему вектору, каждая страна прокладывает свой путь c учетом своих уникальных особенностей - культурно-исторических, социально-демографических и экономических. Тем не менее, сопоставив стратегии и социально-политические обстоятельства, в которых страны проводили образовательные реформы, можно выделить общие черты, позволяющие успешно двигаться по намеченному пути.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образовательной политики: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Фокусировка на нескольких амбициозных целях.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Инвестиции в педагогов, их постоянное профессиональное развитие.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Опора на данные, подкрепление решений результатами мониторингов и исследований хода преобразования.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Прозрачность, поддержание коммуникации с заинтересованными сторонами, включая родителей, учащихся, бизнес, местные сообщества, государство.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результатов образования не в терминах осваиваемого материала, а в терминах готовности выпускников школы решать реальные задачи (эту готовность, как правило, называют компетентностью в соответствующей области, или предметной компетентностью).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Включение в ожидаемые результаты образования не только предметных компетентностей, но и универсальных (метапредметных), а также личностных характеристик (ценностей, установок).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конструирования образовательных программ (куррикулума):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Важные для страны компетентности и виды грамотности собраны в четкий перечень.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универсальных компетентностей вплетено в освоение предметного знания; это не отдельная задача, а особенность учебного процесса (хотя могут быть и специальные тренинги, курсы).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Предметный материал формулируется крупными смысловыми блоками с выделением ключевых понятий, которые ученики должны уметь применять при решении задач в реальной жизни. Обозначаются межпредметные связи.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Акцент не на жесткой детальной фиксации материала обучения, а на образовательных результатах, формулируемых в терминах «что умеет ученик», «насколько он владеет определенными компетентностями».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Итоговая аттестация включает оценку универсальных компетентностей.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педагогических практик: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Фокус не на деятельности учителя по представлению нового учебного материала (instruction, teaching), а на стимулировании собственной учебной деятельности школьника (learning).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Создание мотивирующей образовательной среды (положительные эмоции и амбициозные задачи для каждого ученика, принцип «ученик - владелец процесса, учитель - наставник»).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через исследование (inquiry-based learning): ученик (один или вместе с другими учениками) уточняет задачу, ищет информацию, представляет результат, формулирует критерии оценки и вместе с учителем оценивает успешность выполнения задачи.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Оценивание для обучения (assessment for learning): выполняет функцию обратной связи - показывает сильные и слабые результаты, высвечивает ближайшие и долгосрочные цели учебной работы.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Персонализированное обучение.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Учебные задачи и учебный опыт релевантны реальному опыту ученика, актуальны для него.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Проектное обучение: прежде всего групповые межпредметные проекты (3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15 чел.) длительностью от нескольких дней до целого учебного года, в том числе в связке с реальными задачами своего сообщества (города, округа).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Практически все страны во главу угла помещают ученика, подчеркивают его непосредственный образовательный опыт и активную исследовательскую позицию в ходе обучения. Задачей образования становится не только правильное «предложение» содержания образования, но и формирование «активного ученика», умеющего и любящего узнавать новое, разбираться в неизвестном.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 полном тексте доклада подробно рассматриваются педагогические практики.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Международные организации также попытались дать «глобальные» рекомендации в этой области.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ОЭСР запустила проект под названием «Определение и выбор компетентностей: теоретические и концептуальные основания» (DeSeCo). Целью проекта было определить универсальные компетентности для успешной жизни и благополучного функционирования общества - каждая подобная компетентность должна отвечать интересам общества и индивидов, помогать людям удовлетворять различные потребности, быть важной как в профессиональной и общественной, так и в личной жизни каждого человека. Аналогичные инициативы, в том числе предпринятые крупными технологическими компаниями, были реализованы в конце 1990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- начале 2000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х годов ЮНЕСКО и рядом международных консорциумов: ATC21S, Partnership for 21st Century Learning (REX, Ford, Walt Disney), EnGauge 21st Century Skills. Вопрос новых ориентиров образования неоднократно поднимался и на Всемирном экономическом форуме (например, в докладе «New Vision for Education», 2015).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все эти проекты носили в значительной степени нормативный характер, они предлагали рекомендации, чему должна научить школа, и расширяли список компетентностей, но не отвечали на вопрос, как трансформировать существующую систему. Более того, каждый новый пакет рекомендаций усложнял общую картину: списки «компетентностей» и «новых грамотностей» росли, удлинялись, множилась путаница с синонимами. Ни один из этих проектов не анализировал существующие практические попытки трансформации куррикулума в передовых системах. В полном тексте доклада подробно рассматриваются кейсы трансформации образовательных систем, иллюстрирующие разные подходы к этой задаче: Великобритания (Англия), Канада (Онтарио), Китай, Южная Корея, Польша, США (Северная Каролина), Финляндия.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несмотря на то что общее направление очерчено четко: смещение акцента от предметных знаний к универсальным компетентностям, многие вопросы, начиная от определения основных предметных знаний (в том числе подходов к преобразованию фундаментального научного знания в учебную дисциплину для всех школьников) и заканчивая оцениванием сформированности универсальных компетентностей, до сих пор остаются открытыми. Стало ясно, что нужны более систематические концептуальная проработка и анализ практики.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этот вызов, ОЭСР начала в 2015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проект «Education 2030», задачей которого является глобальный межстрановый анализ современных тенденций трансформации школьного образования и формулирование желательных направлений его развития. Это беспрецедентный проект, нацеленный на формирование к 2020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общих для большинства развитых стран принципов развития школы. В нем анализируются не только новые компетентности и грамотности, но и все предметное содержание, методы оценки.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«Универсальные компетентности и новая грамотность» (УКНГ), инициированный благотворительным фондом «Вклад в будущее» в 2017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году, носит более сфокусированный характер. Как и проект ОЭСР, он направлен на концептуальное прояснение идущей трансформации школьного образования5, но ориентирован не столько на обновление всего предметного содержания, сколько на ответы на три конкретных вопроса: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Какие универсальные компетентности и виды грамотности важны (и как разобраться во множестве существующих списков, систематизировать их)?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их формировать в школе?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Как для этого начать трансформировать российскую школу уже сейчас?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отличия проекта УКНГ от проекта «Education 2030» в его фокусировке на универсальных компетентностях и новой грамотности и в его практической направленности: подготовке рекомендаций для трансформации российской школы с учетом опыта наиболее продвинутых стран уже сейчас, не дожидаясь 2030</w:t>
      </w:r>
      <w:r w:rsid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 Именно это сочетание концептуальной и практической проработки определило приглашение в проект партнеров - факультеты образования ведущих исследовательских университетов из семи стран. Эти факультеты не только исследуют реальность школы и разрабатывают концепции развития образования, но и ведут подготовку и переподготовку учителей и руководителей школ.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Подчеркнем, что проект УКНГ сфокусирован только на проблеме компетентностей и грамотности и пока оставляет за пределами анализа важнейший вопрос мотивации, активности, инициативы учащихся.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связи формирования компетентностей и мотивации - задача следующего шага работы, сфокусированного на педагогической практике.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Общая рамка универсальных компетентностей и новой грамотности, разработанная в проекте УКНГ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страновых и международных рамок навыков XXI века (ОЭСР, ЮНЕСКО, Всемирный экономический форум, ATC21S, P21, EnGauge и др.), сравнительных обзорных работ (Tan et al. 2017; Voogt &amp; Roblin 2012; Kereluik et al. 2013; Pellegrino, Hilton 2012) показывает, что при всей разнице слов все они имеют схожий набор элементов, относящихся либо к универсальным компетентностям, либо к так называемой новой грамотности. На прикладном уровне при этом нет принципиальных различий между понятиями «универсальная компетентность», «универсальный навык», они так или иначе означают наличие у человека способности (capacity) де</w:t>
      </w:r>
      <w:r w:rsidRPr="001E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йствовать определенным образом.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Универсальные компетентности - понятийная рамка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Проведенная командой проекта УКНГ экспертно-аналитическая работа показывает, что наиболее устойчивым является выделение трех целостных универсальных компетентностей, воспроизводящихся в существующих классификациях и соответствующих авторитетным теориям деятельности и развития личности. Далее представлены эти компетентности, в каждой из них приведены примеры более узких умений, которые употребляются при реализации этих компетентностей. Приведенные списки этих умений не являются и не могут быть исчерпывающими, и в этом принципиальное преимущество рамки: фокус не на сортировке конечного набора терминов, а на типе действия и поведенческих результатах позволяет соотносить рамку с любыми другими рамками и дополнять ее новыми умениями в зависимости от конкретного контекста и содержания решаемых задач.</w:t>
      </w:r>
    </w:p>
    <w:p w:rsidR="00075DAA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 Компетентность мышления: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понимание, анализ и интерпретация задачи, поиск и выделение закономерностей в массиве фактов; идентификация неявно заданных качеств предметов и явлений, скрытых ресурсов для решения задачи; выстраивание причинно-следственных цепочек, в том числе разветвленных с необходимой степенью детализации; применение формальной логики в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 недостаточного знания; выделение главного, противоречий, аналогий, построение классификаций…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 применение вариантов для решения комплексных задач, в том числе открытых (имеющих более одного решения);</w:t>
      </w:r>
    </w:p>
    <w:p w:rsidR="00075DAA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креативное мышление, изобретательность (продуктивное действие в ситуациях новизны и неопределенности при недостатке информации; создание собственного продукта, обладающего субъективной или объективной новизной и оригинальностью);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мышление, понимание и интерпретация эстетики закономерностей и степени универсальности их применения; симуляционное моделирование комплексных процессов и явлений (выбор и учет значимых факторов, принятие решений в изменчивой среде, в том числе организованной сетевым образом; управление рисками, компенсация провалов и сохранение устойчивости системы; модульные многозадачные решения; выбор баланса между скоростью при выполнении известного алгоритма и адаптивностью к изменившимся условиям)…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 Компетентность взаимодействия с другими: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кооперативность, способность к сотрудничеству, совместной работе (сooperation/collaboration), в том числе в роли лидера и в роли участника команды, ответственность и ее распределение, координация действий внутри команды;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договариваться (убеждать, аргументировать свою позицию и принимать чужую, в том числе с учетом социальных и культурных различий), разрешать конфликты, осознавать возможные объективные противоречия в интересах разных сторон и учитывать их при принятии решений…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(3) Компетентность взаимодействия с собой: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саморегуляция, самоконтроль, в том числе распознавание своих эмоций и управление ими;</w:t>
      </w:r>
    </w:p>
    <w:p w:rsidR="001E179E" w:rsidRPr="001E179E" w:rsidRDefault="001E179E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75DAA"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 - способность человека рефлексивно относиться к своей деятельности, мобилизовать себя на выполнение задач, способность выбирать стратегию настойчивости или гибкости…</w:t>
      </w:r>
    </w:p>
    <w:p w:rsidR="001E179E" w:rsidRPr="001E179E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Развитость универсальных компетентностей определяет, насколько эффективно человек принимает решения и действует в различных ситуациях, а также насколько он способен к саморазвитию («умеет учиться» в узком, академическом, смысле и в широком смысле овладения любыми новыми навыками, в которых возникает профессиональная или жизненная необходимость).</w:t>
      </w:r>
    </w:p>
    <w:p w:rsidR="00075DAA" w:rsidRPr="00075DAA" w:rsidRDefault="00075DAA" w:rsidP="001E1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именно этих трех компетентностей и является сегодня важной задачей массового школьного образования.</w:t>
      </w:r>
    </w:p>
    <w:p w:rsidR="00075DAA" w:rsidRPr="001E179E" w:rsidRDefault="00075DAA" w:rsidP="001E179E">
      <w:pPr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9A096B" w:rsidRPr="001E179E" w:rsidRDefault="00075DAA" w:rsidP="001E179E">
      <w:pPr>
        <w:ind w:firstLine="567"/>
        <w:jc w:val="both"/>
        <w:rPr>
          <w:rFonts w:ascii="Times New Roman" w:hAnsi="Times New Roman" w:cs="Times New Roman"/>
        </w:rPr>
      </w:pPr>
      <w:r w:rsidRPr="001E179E">
        <w:rPr>
          <w:rFonts w:ascii="Times New Roman" w:hAnsi="Times New Roman" w:cs="Times New Roman"/>
          <w:i/>
          <w:sz w:val="24"/>
        </w:rPr>
        <w:t>«Учительская газета». – №30. – 2018.</w:t>
      </w:r>
    </w:p>
    <w:sectPr w:rsidR="009A096B" w:rsidRPr="001E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A"/>
    <w:rsid w:val="00075DAA"/>
    <w:rsid w:val="00112206"/>
    <w:rsid w:val="001558D9"/>
    <w:rsid w:val="00163569"/>
    <w:rsid w:val="001E179E"/>
    <w:rsid w:val="001E22C1"/>
    <w:rsid w:val="00453121"/>
    <w:rsid w:val="00575092"/>
    <w:rsid w:val="007A5808"/>
    <w:rsid w:val="009A096B"/>
    <w:rsid w:val="00AE6BD3"/>
    <w:rsid w:val="00D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D68CD-3ED1-4DA4-87FD-60A323F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75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075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075D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75D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3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3403</Words>
  <Characters>19401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Мотина Людмила Викторовна</cp:lastModifiedBy>
  <cp:revision>2</cp:revision>
  <dcterms:created xsi:type="dcterms:W3CDTF">2022-03-31T07:31:00Z</dcterms:created>
  <dcterms:modified xsi:type="dcterms:W3CDTF">2022-03-31T07:31:00Z</dcterms:modified>
</cp:coreProperties>
</file>